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0099" w14:textId="77777777" w:rsidR="007E032F" w:rsidRDefault="00EF75AC">
      <w:pPr>
        <w:jc w:val="center"/>
        <w:rPr>
          <w:b/>
        </w:rPr>
      </w:pPr>
      <w:r>
        <w:rPr>
          <w:b/>
        </w:rPr>
        <w:t>SERVICII DE CONSULTANȚĂ PENTRU FINANȚARE</w:t>
      </w:r>
    </w:p>
    <w:p w14:paraId="0D17009A" w14:textId="77777777" w:rsidR="007E032F" w:rsidRDefault="007E032F">
      <w:pPr>
        <w:jc w:val="center"/>
      </w:pPr>
    </w:p>
    <w:tbl>
      <w:tblPr>
        <w:tblStyle w:val="1"/>
        <w:tblW w:w="14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5"/>
        <w:gridCol w:w="2095"/>
        <w:gridCol w:w="900"/>
        <w:gridCol w:w="675"/>
        <w:gridCol w:w="585"/>
        <w:gridCol w:w="930"/>
        <w:gridCol w:w="1290"/>
        <w:gridCol w:w="990"/>
        <w:gridCol w:w="6825"/>
      </w:tblGrid>
      <w:tr w:rsidR="007E032F" w14:paraId="0D1700A2" w14:textId="77777777">
        <w:trPr>
          <w:trHeight w:val="390"/>
          <w:tblHeader/>
        </w:trPr>
        <w:tc>
          <w:tcPr>
            <w:tcW w:w="454" w:type="dxa"/>
            <w:vMerge w:val="restart"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9B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#</w:t>
            </w:r>
          </w:p>
        </w:tc>
        <w:tc>
          <w:tcPr>
            <w:tcW w:w="2095" w:type="dxa"/>
            <w:vMerge w:val="restart"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9C" w14:textId="77777777" w:rsidR="007E032F" w:rsidRDefault="00EF75A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Subiect</w:t>
            </w:r>
            <w:proofErr w:type="spellEnd"/>
          </w:p>
        </w:tc>
        <w:tc>
          <w:tcPr>
            <w:tcW w:w="900" w:type="dxa"/>
            <w:vMerge w:val="restart"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9D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#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Bneficiari</w:t>
            </w:r>
            <w:proofErr w:type="spellEnd"/>
          </w:p>
        </w:tc>
        <w:tc>
          <w:tcPr>
            <w:tcW w:w="2190" w:type="dxa"/>
            <w:gridSpan w:val="3"/>
            <w:shd w:val="clear" w:color="auto" w:fill="EDEDED"/>
            <w:vAlign w:val="center"/>
          </w:tcPr>
          <w:p w14:paraId="0D17009E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Din care</w:t>
            </w:r>
          </w:p>
        </w:tc>
        <w:tc>
          <w:tcPr>
            <w:tcW w:w="1290" w:type="dxa"/>
            <w:vMerge w:val="restart"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9F" w14:textId="77777777" w:rsidR="007E032F" w:rsidRDefault="00EF75AC">
            <w:pP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Preț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unitar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(EUR)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990" w:type="dxa"/>
            <w:vMerge w:val="restart"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0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Răspunde</w:t>
            </w:r>
            <w:proofErr w:type="spellEnd"/>
          </w:p>
        </w:tc>
        <w:tc>
          <w:tcPr>
            <w:tcW w:w="6825" w:type="dxa"/>
            <w:vMerge w:val="restart"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1" w14:textId="77777777" w:rsidR="007E032F" w:rsidRDefault="00EF75AC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Descriere</w:t>
            </w:r>
            <w:proofErr w:type="spellEnd"/>
          </w:p>
        </w:tc>
      </w:tr>
      <w:tr w:rsidR="007E032F" w14:paraId="0D1700AC" w14:textId="77777777">
        <w:trPr>
          <w:trHeight w:val="390"/>
          <w:tblHeader/>
        </w:trPr>
        <w:tc>
          <w:tcPr>
            <w:tcW w:w="454" w:type="dxa"/>
            <w:vMerge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3" w14:textId="77777777" w:rsidR="007E032F" w:rsidRDefault="007E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95" w:type="dxa"/>
            <w:vMerge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4" w14:textId="77777777" w:rsidR="007E032F" w:rsidRDefault="007E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5" w14:textId="77777777" w:rsidR="007E032F" w:rsidRDefault="007E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EDEDED"/>
            <w:vAlign w:val="center"/>
          </w:tcPr>
          <w:p w14:paraId="0D1700A6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IMM</w:t>
            </w:r>
          </w:p>
        </w:tc>
        <w:tc>
          <w:tcPr>
            <w:tcW w:w="585" w:type="dxa"/>
            <w:shd w:val="clear" w:color="auto" w:fill="EDEDED"/>
            <w:vAlign w:val="center"/>
          </w:tcPr>
          <w:p w14:paraId="0D1700A7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UAT</w:t>
            </w:r>
          </w:p>
        </w:tc>
        <w:tc>
          <w:tcPr>
            <w:tcW w:w="930" w:type="dxa"/>
            <w:shd w:val="clear" w:color="auto" w:fill="EDEDED"/>
            <w:vAlign w:val="center"/>
          </w:tcPr>
          <w:p w14:paraId="0D1700A8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SPITAL</w:t>
            </w:r>
          </w:p>
        </w:tc>
        <w:tc>
          <w:tcPr>
            <w:tcW w:w="1290" w:type="dxa"/>
            <w:vMerge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9" w14:textId="77777777" w:rsidR="007E032F" w:rsidRDefault="007E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A" w14:textId="77777777" w:rsidR="007E032F" w:rsidRDefault="007E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6825" w:type="dxa"/>
            <w:vMerge/>
            <w:shd w:val="clear" w:color="auto" w:fill="EDEDE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B" w14:textId="77777777" w:rsidR="007E032F" w:rsidRDefault="007E03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E032F" w:rsidRPr="00EF75AC" w14:paraId="0D1700B6" w14:textId="77777777">
        <w:trPr>
          <w:trHeight w:val="390"/>
        </w:trPr>
        <w:tc>
          <w:tcPr>
            <w:tcW w:w="454" w:type="dxa"/>
            <w:shd w:val="clear" w:color="auto" w:fill="C5E0B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D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095" w:type="dxa"/>
            <w:shd w:val="clear" w:color="auto" w:fill="C5E0B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E" w14:textId="77777777" w:rsidR="007E032F" w:rsidRPr="00EF75AC" w:rsidRDefault="00EF75AC">
            <w:pPr>
              <w:pStyle w:val="Heading4"/>
              <w:spacing w:line="240" w:lineRule="auto"/>
              <w:rPr>
                <w:color w:val="1155CC"/>
                <w:sz w:val="22"/>
                <w:szCs w:val="22"/>
                <w:lang w:val="it-IT"/>
              </w:rPr>
            </w:pPr>
            <w:bookmarkStart w:id="0" w:name="_heading=h.1amnjnzhhoba" w:colFirst="0" w:colLast="0"/>
            <w:bookmarkEnd w:id="0"/>
            <w:r w:rsidRPr="00EF75AC">
              <w:rPr>
                <w:color w:val="1155CC"/>
                <w:sz w:val="22"/>
                <w:szCs w:val="22"/>
                <w:lang w:val="it-IT"/>
              </w:rPr>
              <w:t>Consultanță sprijin pentru investiții Scale-ups</w:t>
            </w:r>
          </w:p>
        </w:tc>
        <w:tc>
          <w:tcPr>
            <w:tcW w:w="900" w:type="dxa"/>
            <w:shd w:val="clear" w:color="auto" w:fill="C5E0B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AF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C5E0B3"/>
            <w:vAlign w:val="center"/>
          </w:tcPr>
          <w:p w14:paraId="0D1700B0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5" w:type="dxa"/>
            <w:shd w:val="clear" w:color="auto" w:fill="C5E0B3"/>
            <w:vAlign w:val="center"/>
          </w:tcPr>
          <w:p w14:paraId="0D1700B1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C5E0B3"/>
            <w:vAlign w:val="center"/>
          </w:tcPr>
          <w:p w14:paraId="0D1700B2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C5E0B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3" w14:textId="77777777" w:rsidR="007E032F" w:rsidRDefault="00EF75AC">
            <w:pP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€18,863.14</w:t>
            </w:r>
          </w:p>
        </w:tc>
        <w:tc>
          <w:tcPr>
            <w:tcW w:w="990" w:type="dxa"/>
            <w:shd w:val="clear" w:color="auto" w:fill="C5E0B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4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CJIT</w:t>
            </w:r>
          </w:p>
        </w:tc>
        <w:tc>
          <w:tcPr>
            <w:tcW w:w="6825" w:type="dxa"/>
            <w:shd w:val="clear" w:color="auto" w:fill="C5E0B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5" w14:textId="77777777" w:rsidR="007E032F" w:rsidRPr="00EF75AC" w:rsidRDefault="00EF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it-IT"/>
              </w:rPr>
            </w:pPr>
            <w:r w:rsidRPr="00EF75AC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Identificarea Valorii Adăugate pentru a îmbunătăți Avantajul Competitiv în Cadrul Lanțului de Valoare Comercial; Elaborarea planului de afaceri; Elaborarea bugetului; Elaborarea analizei cost-beneficiu; Asistență în elaborarea analizei tehnice. Valoare adăugată pentru beneficiari: Documentație de înaltă calitate pentru solicitarea de finanțare și susținerea negocierilor</w:t>
            </w:r>
          </w:p>
        </w:tc>
      </w:tr>
      <w:tr w:rsidR="007E032F" w14:paraId="0D1700C0" w14:textId="77777777">
        <w:trPr>
          <w:trHeight w:val="390"/>
        </w:trPr>
        <w:tc>
          <w:tcPr>
            <w:tcW w:w="454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7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095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8" w14:textId="77777777" w:rsidR="007E032F" w:rsidRPr="00EF75AC" w:rsidRDefault="00EF75AC">
            <w:pPr>
              <w:pStyle w:val="Heading4"/>
              <w:spacing w:line="240" w:lineRule="auto"/>
              <w:rPr>
                <w:color w:val="1155CC"/>
                <w:sz w:val="22"/>
                <w:szCs w:val="22"/>
                <w:lang w:val="it-IT"/>
              </w:rPr>
            </w:pPr>
            <w:bookmarkStart w:id="1" w:name="_heading=h.usn72v5o42uz" w:colFirst="0" w:colLast="0"/>
            <w:bookmarkEnd w:id="1"/>
            <w:r w:rsidRPr="00EF75AC">
              <w:rPr>
                <w:color w:val="1155CC"/>
                <w:sz w:val="22"/>
                <w:szCs w:val="22"/>
                <w:lang w:val="it-IT"/>
              </w:rPr>
              <w:t>Consultanță sprijin pentru investiții IMM-uri nivel avansat</w:t>
            </w:r>
          </w:p>
        </w:tc>
        <w:tc>
          <w:tcPr>
            <w:tcW w:w="900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9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75" w:type="dxa"/>
            <w:shd w:val="clear" w:color="auto" w:fill="FFF2CC"/>
            <w:vAlign w:val="center"/>
          </w:tcPr>
          <w:p w14:paraId="0D1700BA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5" w:type="dxa"/>
            <w:shd w:val="clear" w:color="auto" w:fill="FFF2CC"/>
            <w:vAlign w:val="center"/>
          </w:tcPr>
          <w:p w14:paraId="0D1700BB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FFF2CC"/>
            <w:vAlign w:val="center"/>
          </w:tcPr>
          <w:p w14:paraId="0D1700BC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D" w14:textId="77777777" w:rsidR="007E032F" w:rsidRDefault="00EF75AC">
            <w:pP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€4,337.89</w:t>
            </w:r>
          </w:p>
        </w:tc>
        <w:tc>
          <w:tcPr>
            <w:tcW w:w="990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E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CCIBN</w:t>
            </w:r>
          </w:p>
        </w:tc>
        <w:tc>
          <w:tcPr>
            <w:tcW w:w="6825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BF" w14:textId="77777777" w:rsidR="007E032F" w:rsidRDefault="00EF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5A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Asistență în elaborarea planului de afaceri și a bugetului.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32F" w14:paraId="0D1700CB" w14:textId="77777777">
        <w:trPr>
          <w:trHeight w:val="390"/>
        </w:trPr>
        <w:tc>
          <w:tcPr>
            <w:tcW w:w="454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1" w14:textId="77777777" w:rsidR="007E032F" w:rsidRDefault="007E032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1700C2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095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3" w14:textId="77777777" w:rsidR="007E032F" w:rsidRPr="00EF75AC" w:rsidRDefault="00EF75AC">
            <w:pPr>
              <w:pStyle w:val="Heading4"/>
              <w:spacing w:line="240" w:lineRule="auto"/>
              <w:rPr>
                <w:color w:val="1155CC"/>
                <w:sz w:val="22"/>
                <w:szCs w:val="22"/>
                <w:lang w:val="it-IT"/>
              </w:rPr>
            </w:pPr>
            <w:bookmarkStart w:id="2" w:name="_heading=h.tafofa1cvnca" w:colFirst="0" w:colLast="0"/>
            <w:bookmarkEnd w:id="2"/>
            <w:r w:rsidRPr="00EF75AC">
              <w:rPr>
                <w:color w:val="1155CC"/>
                <w:sz w:val="22"/>
                <w:szCs w:val="22"/>
                <w:lang w:val="it-IT"/>
              </w:rPr>
              <w:t>Consultanță sprijin pentru investiții IMM-uri nivel de bază</w:t>
            </w:r>
          </w:p>
        </w:tc>
        <w:tc>
          <w:tcPr>
            <w:tcW w:w="900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4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675" w:type="dxa"/>
            <w:shd w:val="clear" w:color="auto" w:fill="FFF2CC"/>
            <w:vAlign w:val="center"/>
          </w:tcPr>
          <w:p w14:paraId="0D1700C5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5" w:type="dxa"/>
            <w:shd w:val="clear" w:color="auto" w:fill="FFF2CC"/>
            <w:vAlign w:val="center"/>
          </w:tcPr>
          <w:p w14:paraId="0D1700C6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FFF2CC"/>
            <w:vAlign w:val="center"/>
          </w:tcPr>
          <w:p w14:paraId="0D1700C7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8" w14:textId="77777777" w:rsidR="007E032F" w:rsidRDefault="00EF75AC">
            <w:pP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€2,132.31</w:t>
            </w:r>
          </w:p>
        </w:tc>
        <w:tc>
          <w:tcPr>
            <w:tcW w:w="990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9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CCIBN</w:t>
            </w:r>
          </w:p>
        </w:tc>
        <w:tc>
          <w:tcPr>
            <w:tcW w:w="6825" w:type="dxa"/>
            <w:shd w:val="clear" w:color="auto" w:fill="FFF2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A" w14:textId="77777777" w:rsidR="007E032F" w:rsidRDefault="00EF75A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5AC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Asistență în elaborarea planului de afaceri și a bugetului.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Asistență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elaborarea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prezentării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032F" w:rsidRPr="00EF75AC" w14:paraId="0D1700D6" w14:textId="77777777">
        <w:trPr>
          <w:trHeight w:val="390"/>
        </w:trPr>
        <w:tc>
          <w:tcPr>
            <w:tcW w:w="454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C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095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D" w14:textId="77777777" w:rsidR="007E032F" w:rsidRDefault="00EF75AC">
            <w:pPr>
              <w:pStyle w:val="Heading4"/>
              <w:spacing w:line="240" w:lineRule="auto"/>
              <w:rPr>
                <w:color w:val="1155CC"/>
                <w:sz w:val="22"/>
                <w:szCs w:val="22"/>
              </w:rPr>
            </w:pPr>
            <w:bookmarkStart w:id="3" w:name="_heading=h.jd3t227gcyn" w:colFirst="0" w:colLast="0"/>
            <w:bookmarkEnd w:id="3"/>
            <w:proofErr w:type="spellStart"/>
            <w:r>
              <w:rPr>
                <w:color w:val="1155CC"/>
                <w:sz w:val="22"/>
                <w:szCs w:val="22"/>
              </w:rPr>
              <w:t>Consultanță</w:t>
            </w:r>
            <w:proofErr w:type="spellEnd"/>
            <w:r>
              <w:rPr>
                <w:color w:val="1155C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155CC"/>
                <w:sz w:val="22"/>
                <w:szCs w:val="22"/>
              </w:rPr>
              <w:t>sprijin</w:t>
            </w:r>
            <w:proofErr w:type="spellEnd"/>
            <w:r>
              <w:rPr>
                <w:color w:val="1155C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155CC"/>
                <w:sz w:val="22"/>
                <w:szCs w:val="22"/>
              </w:rPr>
              <w:t>pentru</w:t>
            </w:r>
            <w:proofErr w:type="spellEnd"/>
            <w:r>
              <w:rPr>
                <w:color w:val="1155CC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1155CC"/>
                <w:sz w:val="22"/>
                <w:szCs w:val="22"/>
              </w:rPr>
              <w:t>investiții</w:t>
            </w:r>
            <w:proofErr w:type="spellEnd"/>
            <w:r>
              <w:rPr>
                <w:color w:val="1155CC"/>
                <w:sz w:val="22"/>
                <w:szCs w:val="22"/>
              </w:rPr>
              <w:t xml:space="preserve"> Start-ups</w:t>
            </w:r>
          </w:p>
        </w:tc>
        <w:tc>
          <w:tcPr>
            <w:tcW w:w="900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CE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75" w:type="dxa"/>
            <w:shd w:val="clear" w:color="auto" w:fill="B6D7A8"/>
            <w:vAlign w:val="center"/>
          </w:tcPr>
          <w:p w14:paraId="0D1700CF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5" w:type="dxa"/>
            <w:shd w:val="clear" w:color="auto" w:fill="B6D7A8"/>
            <w:vAlign w:val="center"/>
          </w:tcPr>
          <w:p w14:paraId="0D1700D0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B6D7A8"/>
            <w:vAlign w:val="center"/>
          </w:tcPr>
          <w:p w14:paraId="0D1700D1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2" w14:textId="77777777" w:rsidR="007E032F" w:rsidRDefault="00EF75AC">
            <w:pP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€62,554.80</w:t>
            </w:r>
          </w:p>
        </w:tc>
        <w:tc>
          <w:tcPr>
            <w:tcW w:w="990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3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CJIT</w:t>
            </w:r>
          </w:p>
        </w:tc>
        <w:tc>
          <w:tcPr>
            <w:tcW w:w="6825" w:type="dxa"/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4" w14:textId="77777777" w:rsidR="007E032F" w:rsidRPr="00EF75AC" w:rsidRDefault="00EF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asista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start-up-urile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identificarea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surselor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finanțare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pregătirea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documentației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tehnice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afaceri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pentru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accesarea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fondurilor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legătură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proiectele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digitalizare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asistență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în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pregătirea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formularului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aplicare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și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prezentării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conform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cerințelor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organismelor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finanțare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EF75AC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Descrierea serviciului (indicativ): Elaborarea planului de afaceri; Elaborarea prezentării; Elaborarea formularului de aplicare. </w:t>
            </w:r>
          </w:p>
          <w:p w14:paraId="0D1700D5" w14:textId="77777777" w:rsidR="007E032F" w:rsidRPr="00EF75AC" w:rsidRDefault="00EF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EF75AC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Valoare adăugată pentru beneficiari: Documentație de înaltă calitate, pregătită pentru negociere, pentru solicitarea de finanțare</w:t>
            </w:r>
          </w:p>
        </w:tc>
      </w:tr>
      <w:tr w:rsidR="007E032F" w14:paraId="0D1700E1" w14:textId="77777777">
        <w:trPr>
          <w:trHeight w:val="390"/>
        </w:trPr>
        <w:tc>
          <w:tcPr>
            <w:tcW w:w="454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7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5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8" w14:textId="77777777" w:rsidR="007E032F" w:rsidRPr="00EF75AC" w:rsidRDefault="00EF75AC">
            <w:pPr>
              <w:pStyle w:val="Heading4"/>
              <w:spacing w:line="240" w:lineRule="auto"/>
              <w:rPr>
                <w:color w:val="1155CC"/>
                <w:sz w:val="22"/>
                <w:szCs w:val="22"/>
                <w:lang w:val="it-IT"/>
              </w:rPr>
            </w:pPr>
            <w:bookmarkStart w:id="4" w:name="_heading=h.x4i39hkhlzor" w:colFirst="0" w:colLast="0"/>
            <w:bookmarkEnd w:id="4"/>
            <w:r w:rsidRPr="00EF75AC">
              <w:rPr>
                <w:color w:val="1155CC"/>
                <w:sz w:val="22"/>
                <w:szCs w:val="22"/>
                <w:lang w:val="it-IT"/>
              </w:rPr>
              <w:t>Consultanță sprijin pentru investiții - Administrație publică - mare</w:t>
            </w:r>
          </w:p>
        </w:tc>
        <w:tc>
          <w:tcPr>
            <w:tcW w:w="900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9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75" w:type="dxa"/>
            <w:shd w:val="clear" w:color="auto" w:fill="9CF8F6"/>
            <w:vAlign w:val="center"/>
          </w:tcPr>
          <w:p w14:paraId="0D1700DA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85" w:type="dxa"/>
            <w:shd w:val="clear" w:color="auto" w:fill="9CF8F6"/>
            <w:vAlign w:val="center"/>
          </w:tcPr>
          <w:p w14:paraId="0D1700DB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930" w:type="dxa"/>
            <w:shd w:val="clear" w:color="auto" w:fill="9CF8F6"/>
            <w:vAlign w:val="center"/>
          </w:tcPr>
          <w:p w14:paraId="0D1700DC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90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D" w14:textId="77777777" w:rsidR="007E032F" w:rsidRDefault="00EF75AC">
            <w:pP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€58,037.19</w:t>
            </w:r>
          </w:p>
        </w:tc>
        <w:tc>
          <w:tcPr>
            <w:tcW w:w="990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E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CJIT</w:t>
            </w:r>
          </w:p>
        </w:tc>
        <w:tc>
          <w:tcPr>
            <w:tcW w:w="6825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DF" w14:textId="77777777" w:rsidR="007E032F" w:rsidRDefault="007E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D1700E0" w14:textId="77777777" w:rsidR="007E032F" w:rsidRDefault="007E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7E032F" w14:paraId="0D1700EB" w14:textId="77777777">
        <w:trPr>
          <w:trHeight w:val="390"/>
        </w:trPr>
        <w:tc>
          <w:tcPr>
            <w:tcW w:w="454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E2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095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E3" w14:textId="77777777" w:rsidR="007E032F" w:rsidRPr="00EF75AC" w:rsidRDefault="00EF75AC">
            <w:pPr>
              <w:pStyle w:val="Heading4"/>
              <w:spacing w:line="240" w:lineRule="auto"/>
              <w:rPr>
                <w:color w:val="1155CC"/>
                <w:sz w:val="22"/>
                <w:szCs w:val="22"/>
                <w:lang w:val="it-IT"/>
              </w:rPr>
            </w:pPr>
            <w:bookmarkStart w:id="5" w:name="_heading=h.7jhpaqlt0jyn" w:colFirst="0" w:colLast="0"/>
            <w:bookmarkEnd w:id="5"/>
            <w:r w:rsidRPr="00EF75AC">
              <w:rPr>
                <w:color w:val="1155CC"/>
                <w:sz w:val="22"/>
                <w:szCs w:val="22"/>
                <w:lang w:val="it-IT"/>
              </w:rPr>
              <w:t>Consultanță sprijin pentru investiții - Administrație publică - medie</w:t>
            </w:r>
          </w:p>
        </w:tc>
        <w:tc>
          <w:tcPr>
            <w:tcW w:w="900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E4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9CF8F6"/>
            <w:vAlign w:val="center"/>
          </w:tcPr>
          <w:p w14:paraId="0D1700E5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585" w:type="dxa"/>
            <w:shd w:val="clear" w:color="auto" w:fill="9CF8F6"/>
            <w:vAlign w:val="center"/>
          </w:tcPr>
          <w:p w14:paraId="0D1700E6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930" w:type="dxa"/>
            <w:shd w:val="clear" w:color="auto" w:fill="9CF8F6"/>
            <w:vAlign w:val="center"/>
          </w:tcPr>
          <w:p w14:paraId="0D1700E7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E8" w14:textId="77777777" w:rsidR="007E032F" w:rsidRDefault="00EF75AC">
            <w:pPr>
              <w:spacing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€25,360.76</w:t>
            </w:r>
          </w:p>
        </w:tc>
        <w:tc>
          <w:tcPr>
            <w:tcW w:w="990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E9" w14:textId="77777777" w:rsidR="007E032F" w:rsidRDefault="00EF75AC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CJIT</w:t>
            </w:r>
          </w:p>
        </w:tc>
        <w:tc>
          <w:tcPr>
            <w:tcW w:w="6825" w:type="dxa"/>
            <w:shd w:val="clear" w:color="auto" w:fill="9CF8F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1700EA" w14:textId="77777777" w:rsidR="007E032F" w:rsidRDefault="007E03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D1700EC" w14:textId="77777777" w:rsidR="007E032F" w:rsidRDefault="007E032F"/>
    <w:p w14:paraId="0D1700ED" w14:textId="77777777" w:rsidR="007E032F" w:rsidRDefault="007E032F"/>
    <w:p w14:paraId="0D1700EE" w14:textId="77777777" w:rsidR="007E032F" w:rsidRDefault="007E032F"/>
    <w:p w14:paraId="0D1700EF" w14:textId="77777777" w:rsidR="007E032F" w:rsidRDefault="007E032F"/>
    <w:p w14:paraId="0D1700F0" w14:textId="77777777" w:rsidR="007E032F" w:rsidRDefault="007E032F"/>
    <w:p w14:paraId="0D1700F1" w14:textId="77777777" w:rsidR="007E032F" w:rsidRDefault="007E032F"/>
    <w:p w14:paraId="0D1700F2" w14:textId="77777777" w:rsidR="007E032F" w:rsidRDefault="007E032F"/>
    <w:p w14:paraId="0D1700F3" w14:textId="77777777" w:rsidR="007E032F" w:rsidRDefault="007E032F"/>
    <w:p w14:paraId="0D1700F4" w14:textId="77777777" w:rsidR="007E032F" w:rsidRDefault="007E032F"/>
    <w:p w14:paraId="0D1700F5" w14:textId="77777777" w:rsidR="007E032F" w:rsidRDefault="007E032F"/>
    <w:p w14:paraId="0D1700F6" w14:textId="77777777" w:rsidR="007E032F" w:rsidRDefault="007E032F"/>
    <w:p w14:paraId="0D1700F7" w14:textId="77777777" w:rsidR="007E032F" w:rsidRDefault="007E032F"/>
    <w:p w14:paraId="0D1700F8" w14:textId="77777777" w:rsidR="007E032F" w:rsidRDefault="007E032F"/>
    <w:p w14:paraId="0D1700F9" w14:textId="77777777" w:rsidR="007E032F" w:rsidRDefault="007E032F"/>
    <w:p w14:paraId="0D1700FA" w14:textId="77777777" w:rsidR="007E032F" w:rsidRDefault="007E032F"/>
    <w:p w14:paraId="0D1700FB" w14:textId="77777777" w:rsidR="007E032F" w:rsidRDefault="007E032F"/>
    <w:p w14:paraId="0D1700FC" w14:textId="77777777" w:rsidR="007E032F" w:rsidRDefault="007E032F"/>
    <w:p w14:paraId="0D1700FD" w14:textId="77777777" w:rsidR="007E032F" w:rsidRDefault="007E032F"/>
    <w:p w14:paraId="0D1700FE" w14:textId="77777777" w:rsidR="007E032F" w:rsidRDefault="007E032F"/>
    <w:p w14:paraId="0D1700FF" w14:textId="77777777" w:rsidR="007E032F" w:rsidRDefault="007E032F"/>
    <w:p w14:paraId="0D170100" w14:textId="77777777" w:rsidR="007E032F" w:rsidRDefault="007E032F"/>
    <w:p w14:paraId="0D170101" w14:textId="77777777" w:rsidR="007E032F" w:rsidRDefault="007E032F"/>
    <w:p w14:paraId="0D170102" w14:textId="77777777" w:rsidR="007E032F" w:rsidRDefault="007E032F"/>
    <w:p w14:paraId="0D170103" w14:textId="77777777" w:rsidR="007E032F" w:rsidRDefault="007E032F"/>
    <w:p w14:paraId="0D170104" w14:textId="77777777" w:rsidR="007E032F" w:rsidRDefault="007E032F"/>
    <w:p w14:paraId="0D170105" w14:textId="77777777" w:rsidR="007E032F" w:rsidRDefault="007E032F"/>
    <w:p w14:paraId="0D170106" w14:textId="77777777" w:rsidR="007E032F" w:rsidRDefault="00EF75AC">
      <w:pPr>
        <w:jc w:val="center"/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Fișa</w:t>
      </w:r>
      <w:proofErr w:type="spellEnd"/>
      <w:r>
        <w:rPr>
          <w:b/>
          <w:sz w:val="30"/>
          <w:szCs w:val="30"/>
        </w:rPr>
        <w:t xml:space="preserve"> de </w:t>
      </w:r>
      <w:proofErr w:type="spellStart"/>
      <w:r>
        <w:rPr>
          <w:b/>
          <w:sz w:val="30"/>
          <w:szCs w:val="30"/>
        </w:rPr>
        <w:t>încadrare</w:t>
      </w:r>
      <w:proofErr w:type="spellEnd"/>
    </w:p>
    <w:p w14:paraId="0D170107" w14:textId="77777777" w:rsidR="007E032F" w:rsidRDefault="007E032F">
      <w:pPr>
        <w:jc w:val="center"/>
        <w:rPr>
          <w:sz w:val="30"/>
          <w:szCs w:val="30"/>
        </w:rPr>
      </w:pPr>
    </w:p>
    <w:p w14:paraId="0D170108" w14:textId="77777777" w:rsidR="007E032F" w:rsidRPr="00EF75AC" w:rsidRDefault="00EF75AC">
      <w:pPr>
        <w:rPr>
          <w:lang w:val="it-IT"/>
        </w:rPr>
      </w:pPr>
      <w:r w:rsidRPr="00EF75AC">
        <w:rPr>
          <w:lang w:val="it-IT"/>
        </w:rPr>
        <w:t>Experții care furnizează serviciile de consultantă pentru atragere de finantari  vor fi încadrați în una dintre categoriile:</w:t>
      </w:r>
    </w:p>
    <w:p w14:paraId="0D170109" w14:textId="77777777" w:rsidR="007E032F" w:rsidRPr="00EF75AC" w:rsidRDefault="007E032F">
      <w:pPr>
        <w:rPr>
          <w:lang w:val="it-IT"/>
        </w:rPr>
      </w:pPr>
    </w:p>
    <w:p w14:paraId="0D17010A" w14:textId="77777777" w:rsidR="007E032F" w:rsidRPr="00EF75AC" w:rsidRDefault="007E032F">
      <w:pPr>
        <w:ind w:firstLine="720"/>
        <w:rPr>
          <w:b/>
          <w:lang w:val="it-IT"/>
        </w:rPr>
      </w:pPr>
    </w:p>
    <w:sectPr w:rsidR="007E032F" w:rsidRPr="00EF75AC">
      <w:headerReference w:type="default" r:id="rId7"/>
      <w:footerReference w:type="default" r:id="rId8"/>
      <w:pgSz w:w="16838" w:h="11906" w:orient="landscape"/>
      <w:pgMar w:top="567" w:right="1134" w:bottom="567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0116" w14:textId="77777777" w:rsidR="00EF75AC" w:rsidRDefault="00EF75AC">
      <w:pPr>
        <w:spacing w:line="240" w:lineRule="auto"/>
      </w:pPr>
      <w:r>
        <w:separator/>
      </w:r>
    </w:p>
  </w:endnote>
  <w:endnote w:type="continuationSeparator" w:id="0">
    <w:p w14:paraId="0D170118" w14:textId="77777777" w:rsidR="00EF75AC" w:rsidRDefault="00EF7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0110" w14:textId="1A255E20" w:rsidR="007E032F" w:rsidRDefault="00EF75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D170111" w14:textId="77777777" w:rsidR="007E032F" w:rsidRDefault="007E03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0112" w14:textId="77777777" w:rsidR="00EF75AC" w:rsidRDefault="00EF75AC">
      <w:pPr>
        <w:spacing w:line="240" w:lineRule="auto"/>
      </w:pPr>
      <w:r>
        <w:separator/>
      </w:r>
    </w:p>
  </w:footnote>
  <w:footnote w:type="continuationSeparator" w:id="0">
    <w:p w14:paraId="0D170114" w14:textId="77777777" w:rsidR="00EF75AC" w:rsidRDefault="00EF75AC">
      <w:pPr>
        <w:spacing w:line="240" w:lineRule="auto"/>
      </w:pPr>
      <w:r>
        <w:continuationSeparator/>
      </w:r>
    </w:p>
  </w:footnote>
  <w:footnote w:id="1">
    <w:p w14:paraId="0D17011A" w14:textId="77777777" w:rsidR="007E032F" w:rsidRPr="00EF75AC" w:rsidRDefault="00EF75AC">
      <w:pPr>
        <w:spacing w:line="240" w:lineRule="auto"/>
        <w:rPr>
          <w:sz w:val="16"/>
          <w:szCs w:val="16"/>
          <w:lang w:val="it-IT"/>
        </w:rPr>
      </w:pPr>
      <w:r>
        <w:rPr>
          <w:vertAlign w:val="superscript"/>
        </w:rPr>
        <w:footnoteRef/>
      </w:r>
      <w:r w:rsidRPr="00EF75AC">
        <w:rPr>
          <w:sz w:val="16"/>
          <w:szCs w:val="16"/>
          <w:lang w:val="it-IT"/>
        </w:rPr>
        <w:t xml:space="preserve"> Prețul unitar agregă toate costurile directe și indirecte asociate cu livrarea serviciului. Raportarea financiară se va baza pe structura bugetară prevăzută în Anexa 2 a Acordului de Grant și conform cerințelor specifice ale autorităților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010B" w14:textId="77777777" w:rsidR="007E032F" w:rsidRDefault="007E03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D17010C" w14:textId="77777777" w:rsidR="007E032F" w:rsidRDefault="007E03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  <w:p w14:paraId="0D17010D" w14:textId="77777777" w:rsidR="007E032F" w:rsidRDefault="00EF75AC">
    <w:pPr>
      <w:tabs>
        <w:tab w:val="center" w:pos="8463"/>
        <w:tab w:val="right" w:pos="9360"/>
      </w:tabs>
      <w:spacing w:line="240" w:lineRule="auto"/>
      <w:ind w:left="-540" w:right="-465"/>
      <w:rPr>
        <w:sz w:val="16"/>
        <w:szCs w:val="16"/>
      </w:rPr>
    </w:pPr>
    <w:r>
      <w:rPr>
        <w:noProof/>
        <w:sz w:val="16"/>
        <w:szCs w:val="16"/>
      </w:rPr>
      <w:drawing>
        <wp:inline distT="114300" distB="114300" distL="114300" distR="114300" wp14:anchorId="0D170112" wp14:editId="0D170113">
          <wp:extent cx="2333625" cy="40957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362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</w:t>
    </w:r>
    <w:r>
      <w:rPr>
        <w:noProof/>
        <w:sz w:val="16"/>
        <w:szCs w:val="16"/>
      </w:rPr>
      <w:drawing>
        <wp:inline distT="114300" distB="114300" distL="114300" distR="114300" wp14:anchorId="0D170114" wp14:editId="0D170115">
          <wp:extent cx="1397318" cy="489506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318" cy="4895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</w:t>
    </w:r>
    <w:r>
      <w:rPr>
        <w:sz w:val="16"/>
        <w:szCs w:val="16"/>
      </w:rPr>
      <w:tab/>
    </w:r>
    <w:r>
      <w:rPr>
        <w:noProof/>
        <w:sz w:val="16"/>
        <w:szCs w:val="16"/>
      </w:rPr>
      <w:drawing>
        <wp:inline distT="114300" distB="114300" distL="114300" distR="114300" wp14:anchorId="0D170116" wp14:editId="0D170117">
          <wp:extent cx="3226118" cy="674804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26118" cy="674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</w:t>
    </w:r>
    <w:r>
      <w:rPr>
        <w:noProof/>
        <w:sz w:val="16"/>
        <w:szCs w:val="16"/>
      </w:rPr>
      <w:drawing>
        <wp:inline distT="114300" distB="114300" distL="114300" distR="114300" wp14:anchorId="0D170118" wp14:editId="0D170119">
          <wp:extent cx="715980" cy="6931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80" cy="69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                                       </w:t>
    </w:r>
    <w:proofErr w:type="spellStart"/>
    <w:r>
      <w:rPr>
        <w:sz w:val="16"/>
        <w:szCs w:val="16"/>
      </w:rPr>
      <w:t>Proiect</w:t>
    </w:r>
    <w:proofErr w:type="spellEnd"/>
    <w:r>
      <w:rPr>
        <w:sz w:val="16"/>
        <w:szCs w:val="16"/>
      </w:rPr>
      <w:t xml:space="preserve"> DIH4Society SMIS 161824 - POCIDIF/1147/2/1/</w:t>
    </w:r>
    <w:proofErr w:type="spellStart"/>
    <w:r>
      <w:rPr>
        <w:sz w:val="16"/>
        <w:szCs w:val="16"/>
      </w:rPr>
      <w:t>Acțiunea</w:t>
    </w:r>
    <w:proofErr w:type="spellEnd"/>
    <w:r>
      <w:rPr>
        <w:sz w:val="16"/>
        <w:szCs w:val="16"/>
      </w:rPr>
      <w:t xml:space="preserve"> 2.4 EDIH</w:t>
    </w:r>
  </w:p>
  <w:p w14:paraId="0D17010E" w14:textId="77777777" w:rsidR="007E032F" w:rsidRDefault="00EF75AC">
    <w:pPr>
      <w:tabs>
        <w:tab w:val="center" w:pos="4680"/>
        <w:tab w:val="right" w:pos="9360"/>
      </w:tabs>
      <w:spacing w:line="240" w:lineRule="auto"/>
      <w:rPr>
        <w:sz w:val="16"/>
        <w:szCs w:val="16"/>
      </w:rPr>
    </w:pPr>
    <w:r>
      <w:rPr>
        <w:sz w:val="16"/>
        <w:szCs w:val="16"/>
      </w:rPr>
      <w:t>DEP: 101083952 — DIH4Society — DIGITAL-2021-EDIH-INITIAL-01</w:t>
    </w:r>
  </w:p>
  <w:p w14:paraId="0D17010F" w14:textId="77777777" w:rsidR="007E032F" w:rsidRDefault="007E03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2F"/>
    <w:rsid w:val="007E032F"/>
    <w:rsid w:val="00EF75AC"/>
    <w:rsid w:val="00F9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0099"/>
  <w15:docId w15:val="{6A414545-26CF-4CEC-A475-7A92B92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12E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F3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012E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F3"/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unhideWhenUsed/>
    <w:rsid w:val="0057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7041F"/>
    <w:rPr>
      <w:b/>
      <w:bCs/>
    </w:rPr>
  </w:style>
  <w:style w:type="paragraph" w:styleId="NoSpacing">
    <w:name w:val="No Spacing"/>
    <w:uiPriority w:val="1"/>
    <w:qFormat/>
    <w:rsid w:val="0057041F"/>
    <w:pPr>
      <w:spacing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3G+K66+WDsJGtXhZaYLs2OiZvg==">CgMxLjAyDmguMWFtbmpuemhob2JhMg5oLnVzbjcydjVvNDJ1ejIOaC50YWZvZmExY3ZuY2EyDWguamQzdDIyN2djeW4yDmgueDRpMzloa2hsem9yMg5oLjdqaHBhcWx0MGp5bjgAciExSEZMWHJZVHJYU21KU2QxekwxbjE0YU82enhoWWNjNmU=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03457D4B08A418BC87D459FC81D02" ma:contentTypeVersion="20" ma:contentTypeDescription="Creați un document nou." ma:contentTypeScope="" ma:versionID="e6786ce9adfd1f1f0e69161cb96a158b">
  <xsd:schema xmlns:xsd="http://www.w3.org/2001/XMLSchema" xmlns:xs="http://www.w3.org/2001/XMLSchema" xmlns:p="http://schemas.microsoft.com/office/2006/metadata/properties" xmlns:ns2="2299ea16-ee97-4923-8c68-d5b569bb7d63" xmlns:ns3="53d76547-7e3a-4831-961f-82d41b670e64" targetNamespace="http://schemas.microsoft.com/office/2006/metadata/properties" ma:root="true" ma:fieldsID="4893d16d6ac874bb78b7b649ecaf5588" ns2:_="" ns3:_="">
    <xsd:import namespace="2299ea16-ee97-4923-8c68-d5b569bb7d63"/>
    <xsd:import namespace="53d76547-7e3a-4831-961f-82d41b67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9ea16-ee97-4923-8c68-d5b569bb7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chete imagine" ma:readOnly="false" ma:fieldId="{5cf76f15-5ced-4ddc-b409-7134ff3c332f}" ma:taxonomyMulti="true" ma:sspId="5d04e7ba-288f-4598-901d-d2845bbe28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6547-7e3a-4831-961f-82d41b67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6f1b08-915a-4081-8fe9-aa48378f2812}" ma:internalName="TaxCatchAll" ma:showField="CatchAllData" ma:web="53d76547-7e3a-4831-961f-82d41b67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76547-7e3a-4831-961f-82d41b670e64" xsi:nil="true"/>
    <lcf76f155ced4ddcb4097134ff3c332f xmlns="2299ea16-ee97-4923-8c68-d5b569bb7d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3A1E1B4-5541-4A92-95DF-85A34CFE638A}"/>
</file>

<file path=customXml/itemProps3.xml><?xml version="1.0" encoding="utf-8"?>
<ds:datastoreItem xmlns:ds="http://schemas.openxmlformats.org/officeDocument/2006/customXml" ds:itemID="{FDD47E29-86F3-4898-93AE-932C739853FC}"/>
</file>

<file path=customXml/itemProps4.xml><?xml version="1.0" encoding="utf-8"?>
<ds:datastoreItem xmlns:ds="http://schemas.openxmlformats.org/officeDocument/2006/customXml" ds:itemID="{9DA12B8A-8846-4891-B7DF-4A0344669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Brad</dc:creator>
  <cp:lastModifiedBy>Ervin Fülöp</cp:lastModifiedBy>
  <cp:revision>1</cp:revision>
  <dcterms:created xsi:type="dcterms:W3CDTF">2024-01-11T10:44:00Z</dcterms:created>
  <dcterms:modified xsi:type="dcterms:W3CDTF">2025-09-23T05:37:00Z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2023-05-21T22:52:31Z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a9aa27ba-6df0-4257-9c63-def21b8b5b96</vt:lpwstr>
  </property>
  <property fmtid="{D5CDD505-2E9C-101B-9397-08002B2CF9AE}" pid="8" name="MSIP_Label_5b58b62f-6f94-46bd-8089-18e64b0a9abb_ContentBits">
    <vt:lpwstr>0</vt:lpwstr>
  </property>
  <property fmtid="{D5CDD505-2E9C-101B-9397-08002B2CF9AE}" pid="9" name="ContentTypeId">
    <vt:lpwstr>0x0101000AD03457D4B08A418BC87D459FC81D02</vt:lpwstr>
  </property>
</Properties>
</file>